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0D" w:rsidRPr="00AE1A0D" w:rsidRDefault="00AE1A0D" w:rsidP="00AE1A0D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begin"/>
      </w:r>
      <w:r w:rsidRPr="00AE1A0D">
        <w:rPr>
          <w:rFonts w:ascii="Arial" w:eastAsia="Times New Roman" w:hAnsi="Arial" w:cs="Arial"/>
          <w:color w:val="3C4046"/>
          <w:sz w:val="21"/>
          <w:szCs w:val="21"/>
          <w:lang w:eastAsia="ru-RU"/>
        </w:rPr>
        <w:instrText xml:space="preserve"> HYPERLINK "jl:31033533.0%20" </w:instrText>
      </w:r>
      <w:r w:rsidRPr="00AE1A0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separate"/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</w:t>
      </w:r>
      <w:r w:rsidRPr="00AE1A0D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end"/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қмола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облысы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әкімдігінің</w:t>
      </w:r>
      <w:proofErr w:type="spellEnd"/>
    </w:p>
    <w:p w:rsidR="00AE1A0D" w:rsidRPr="00AE1A0D" w:rsidRDefault="00AE1A0D" w:rsidP="00AE1A0D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2015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жылғы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маусымдағы</w:t>
      </w:r>
      <w:proofErr w:type="spellEnd"/>
    </w:p>
    <w:p w:rsidR="00AE1A0D" w:rsidRPr="00AE1A0D" w:rsidRDefault="00AE1A0D" w:rsidP="00AE1A0D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№ А-6/275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қаулысымен</w:t>
      </w:r>
      <w:proofErr w:type="spellEnd"/>
    </w:p>
    <w:p w:rsidR="00AE1A0D" w:rsidRPr="00AE1A0D" w:rsidRDefault="00AE1A0D" w:rsidP="00AE1A0D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бекітілді</w:t>
      </w:r>
      <w:proofErr w:type="spellEnd"/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«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орта,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берудің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беретін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бағдарламалары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бойынша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оқыту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ведомстволық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бағыныстылығына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қарамастан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ұйымдарына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оқуға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»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регламенті</w:t>
      </w:r>
      <w:proofErr w:type="spellEnd"/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1.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ережелер</w:t>
      </w:r>
      <w:proofErr w:type="spellEnd"/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1. «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берудің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бағдарламалары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бойынша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оқыту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ведомстволық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бағыныстылығына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қарамастан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ұйымдарына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оқуға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»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бұдан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әрі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Ақмола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облысының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ұйымдарымен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көрсетіледі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бұдан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ә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:</w:t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кеңсесі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үкімет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www.e.gov.kz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бұдан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портал)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веб-порталы 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арқылы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жүзеге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асырылады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2.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нысаны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: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электронды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қағаз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түрінде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3.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қабылданғаны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туралы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қолхат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жаңа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жылынан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бастап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,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 орта,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ұйымына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туралы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нәтижесі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болып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табылады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өрсетудің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нәтижесін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ұсыну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нысаны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қағаз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түрінде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2.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көрсету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процесінде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құрылымдық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бө</w:t>
      </w:r>
      <w:proofErr w:type="gram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л</w:t>
      </w:r>
      <w:proofErr w:type="gram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імшесінің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қызметшілерінің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)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өзара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 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і</w:t>
      </w:r>
      <w:proofErr w:type="gram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с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-</w:t>
      </w:r>
      <w:proofErr w:type="gram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қимыл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тәртібінің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сипаттамасы</w:t>
      </w:r>
      <w:proofErr w:type="spellEnd"/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4.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Қазақстан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Республикасы</w:t>
      </w:r>
      <w:proofErr w:type="spellEnd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ғылым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министрінің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2015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жылғы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сәуірдегі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№ 179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бұйрығымен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бекітілген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«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берудің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бағдарламалары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бойынша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оқыту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ведомстволық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бағыныстылығына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қарамастан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ұйымдарына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оқуға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»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стандартының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9-тармағында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көрсетілген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ұсынады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 5.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құрамына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кіретін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әсімнің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әрекеттің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мазмұны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орындалу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мерзімінің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ұзақтығы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1)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кеңсесі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оларды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тіркеуді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жүзеге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асырады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15 минут.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Нәтижесі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алушы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ға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қолхат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басшылыққа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жолдау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2)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басшылығы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құжаттармен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танысады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 1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жұмыс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күні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.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Нәтижесі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орындау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жауапты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орындаушыны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белгілеу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3)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жауапты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орындаушы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жобасын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дайындайды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– 2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жұмыс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күні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.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Нәтижесі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бұйрықтың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жобасын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басшылы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ққа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жолдау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4)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басшылығы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жобасымен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танысады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1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жұмыс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күні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.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Нәтижесі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йры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ққа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қол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қою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lastRenderedPageBreak/>
        <w:t xml:space="preserve">5)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кеңсесі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бұйрықтың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тіркеуі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үзеге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асырады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15 минут.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Нәтижесі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қабылданғаны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туралы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қолхат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ңа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жылынан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бастап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,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 орта,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ұйымына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туралы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л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ұйымына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: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1) </w:t>
      </w:r>
      <w:proofErr w:type="spellStart"/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қудың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күндізгі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кешкі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нысанына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30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тамыздан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кешіктірмей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2)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інші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сыныпқа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1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шілдеден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бастап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30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тамыз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аралығында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көрсету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процесінде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құрылымдық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бө</w:t>
      </w:r>
      <w:proofErr w:type="gram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імшелерінің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қызметшілерінің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өзара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іс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қимыл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тәртібінің</w:t>
      </w:r>
      <w:proofErr w:type="spellEnd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сипаттамасы</w:t>
      </w:r>
      <w:proofErr w:type="spellEnd"/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қатысатын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құрылымдық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бөлімшелерінің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қызметкерлерінің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тізбесі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              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кеңсесі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              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басшылығы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              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жауапты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орындаушы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Әрбір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әсімнің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ұзақтылығын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отырып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құрылымдық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бөлімшелер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қызметшілер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арасында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рәсімдердің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қимылдың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кезеңділігін</w:t>
      </w:r>
      <w:proofErr w:type="spellEnd"/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сипаттау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1)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кеңсесі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оларды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тіркеуді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жүзеге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асырады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15 минут;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2)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басшылығы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құжаттармен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танысады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 1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жұмыс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кү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3)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жауапты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орындаушы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жобасын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дайындайды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– 2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жұмыс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кү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4)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басшылығы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жобасымен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танысады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1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жұмыс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кү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5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кеңсесі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бұйрықтың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тіркеуі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үзеге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асырады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– 15 минут.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4.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процесінде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ақпараттық</w:t>
      </w:r>
      <w:proofErr w:type="spellEnd"/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proofErr w:type="gram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ж</w:t>
      </w:r>
      <w:proofErr w:type="gram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үйені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 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пайдалану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тәртібінің</w:t>
      </w:r>
      <w:proofErr w:type="spellEnd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сипаттамасы</w:t>
      </w:r>
      <w:proofErr w:type="spellEnd"/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 8.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Өтініш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білдіру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тәртібін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қызметкері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Портал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арқылы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берудегі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рәсімдер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әрекеттер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кезеңділігін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сипаттау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цифрлық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қолтаңба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бұдан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ЭЦҚ)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тіркеу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куәлігінің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көмегімен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Порталда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тіркеуді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жүзеге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асырады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интернет-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браузерінде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сақталады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Порталда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тіркелмеген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алушылар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жүзеге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асырылады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1-процесс -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интернет-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браузеріне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ЭЦҚ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тіркеу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куәлігін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бекіту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Порталда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құпия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сөзді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енгізу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авторландыру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1 -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шарт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логин,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жеке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сәйкестендіру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нөмі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бұдан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ЖСН)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құпия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сөз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арқылы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тіркелген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туралы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мәліметтердің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Порталда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дұрыстығын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тексеру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2 - процесс -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деректерінде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бұзушылықтардың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болуына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байланысты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авторизациялаудан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тарту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туралы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хабарламаны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құрастыру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OLE_LINK2"/>
      <w:bookmarkEnd w:id="0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 3 - процесс –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осы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Регламентте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көрсетілген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таңдауы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беруге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арналған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сұрау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салу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нысанын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экран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шығару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нысанын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деректерді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енгізу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құрылымы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форматы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талаптарын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ескере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отырып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сұрау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салу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нысанына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қажетті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түрде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бекітумен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толтыру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4 - процесс –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ЭЦҚ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дұрыстығының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расталмауымен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байланысты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сұратылған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тарту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туралы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хабарлама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қалыптастыру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2-шарт –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порталда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ЭЦҚ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тіркеу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куәлігінің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қолданыс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мерзімін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қайтарып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алынған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жойылған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тіркеу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куәліктерінің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тізімінде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екендігін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сондай-ақ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сәйкестендіру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деректерінің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сәйкестікті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тексеру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сұрау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салуда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көрсетілген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ЖСН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арасында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ЭЦҚ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тіркеу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куәл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інде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көрсетілген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ЖСН);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5 - процесс –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сұрау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салуын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өңдеу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үкімет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өңірлік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шлюзінің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автоматтандырылған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жұмыс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орнына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«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үкіметтің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төлем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шлюзі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бұдан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ЭҮТШ АЖО)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арқылы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ЭЦҚ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қойылған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куәландырған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сұрауын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құжатты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жолдау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3-шарт –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Стандартта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көрсетілген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қызметтерді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негізделі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қоса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берілген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тексеруі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6 - процесс –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құжаттарында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бұзушылық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байланысты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сұратылып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отырған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бас 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тарту</w:t>
      </w:r>
      <w:proofErr w:type="spellEnd"/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туралы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хабарлама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дайындау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7 – процесс –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алушы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қалыптастырылған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құжат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тү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інде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хабарлама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нәтижесін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құжат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өкілетті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тұлғасының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ЭСҚ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пайдаланумен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қалыптасады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Портал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арқылы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көрсетуге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тартылғ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ан</w:t>
      </w:r>
      <w:proofErr w:type="spellEnd"/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ақпараттық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жүйелердің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функционалдық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өзара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әрекет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етуінің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диаграммасы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осы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регламенттің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1-қосымшасында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көрсетілген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  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процесінде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құрылымдық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бөлімшелері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қызметкерлері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әсімдерінің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әрекеттерінің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кезеңділігін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сондай-ақ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өзге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берушілермен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немесе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халыққа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орталығымен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өзара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әрекет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етуінің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тәртібін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процесі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нде</w:t>
      </w:r>
      <w:proofErr w:type="spellEnd"/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ақпараттық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жүйелерді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пайдалану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тәртібін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нақтылы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сипаттау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осы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Регламенттің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2-қосымшасына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сәйкес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көрсетудің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бизнес-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процестерінің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анықтамалығында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көрсетілді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«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берудің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бағдарламалары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бойынша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оқыту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ведомстволық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бағыныстылығына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қарамастан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ұйымдарына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оқуға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қабылдау»</w:t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егламентіне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1-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қосымша</w:t>
      </w:r>
      <w:proofErr w:type="spellEnd"/>
    </w:p>
    <w:p w:rsidR="00AE1A0D" w:rsidRPr="00AE1A0D" w:rsidRDefault="00AE1A0D" w:rsidP="00AE1A0D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ЭҮ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арқылы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көрсету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кезіндегі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функционалдық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өзара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әрекеттесудің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диаграммасы</w:t>
      </w:r>
      <w:proofErr w:type="spellEnd"/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" w:name="_x0000_t75"/>
      <w:bookmarkEnd w:id="1"/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Қысқартылған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сөздері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толық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жазылуы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: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Порталдың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ақпараттық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жүйе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Портал АЖ;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br/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үкіметтің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шлюзі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ЭҮ</w:t>
      </w:r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br/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Автоматтандырылған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жұмыс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орны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электрондық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үкіметтің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өңірлік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шлюзі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АЖО ЭҮӨШ.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 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lastRenderedPageBreak/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«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берудің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бағдарламалары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бойынша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оқыту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ведомстволық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бағыныстылығына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қарамастан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ұйымдарына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оқуға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қабылдау»</w:t>
      </w:r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өрсетілетін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қызметтің</w:t>
      </w:r>
      <w:proofErr w:type="spellEnd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егламентіне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2-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қосымша</w:t>
      </w:r>
      <w:proofErr w:type="spellEnd"/>
    </w:p>
    <w:p w:rsidR="00AE1A0D" w:rsidRPr="00AE1A0D" w:rsidRDefault="00AE1A0D" w:rsidP="00AE1A0D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«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Бастауыш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негізгі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орта,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орта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берудің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жалпы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бағдарламалары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бойынша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оқыту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үшін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ведомстволық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бағыныстылығына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қарамастан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білім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беру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ұйымдарына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құжаттарды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оқуға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қабылдау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»м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емлекеттік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көрсетудің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бизнес-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процестерінің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анықтамалығы</w:t>
      </w:r>
      <w:proofErr w:type="spellEnd"/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711"/>
        <w:gridCol w:w="3760"/>
        <w:gridCol w:w="2652"/>
      </w:tblGrid>
      <w:tr w:rsidR="00AE1A0D" w:rsidRPr="00AE1A0D" w:rsidTr="00AE1A0D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0D" w:rsidRPr="00AE1A0D" w:rsidRDefault="00AE1A0D" w:rsidP="00AE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процесі</w:t>
            </w:r>
            <w:proofErr w:type="spellEnd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ағыны</w:t>
            </w:r>
            <w:proofErr w:type="spellEnd"/>
            <w:r w:rsidRPr="00AE1A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1A0D" w:rsidRPr="00AE1A0D" w:rsidTr="00AE1A0D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0D" w:rsidRPr="00AE1A0D" w:rsidRDefault="00AE1A0D" w:rsidP="00AE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қызметті</w:t>
            </w:r>
            <w:proofErr w:type="spellEnd"/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алушы</w:t>
            </w:r>
            <w:proofErr w:type="spellEnd"/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0D" w:rsidRPr="00AE1A0D" w:rsidRDefault="00AE1A0D" w:rsidP="00AE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ҚФБ 1-тобы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0D" w:rsidRPr="00AE1A0D" w:rsidRDefault="00AE1A0D" w:rsidP="00AE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ҚФБ 1-тобы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A0D" w:rsidRPr="00AE1A0D" w:rsidRDefault="00AE1A0D" w:rsidP="00AE1A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 xml:space="preserve">ҚФБ </w:t>
            </w:r>
            <w:proofErr w:type="spellStart"/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тобы</w:t>
            </w:r>
            <w:proofErr w:type="spellEnd"/>
          </w:p>
        </w:tc>
      </w:tr>
      <w:tr w:rsidR="00AE1A0D" w:rsidRPr="00AE1A0D" w:rsidTr="00AE1A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</w:tblGrid>
            <w:tr w:rsidR="00AE1A0D" w:rsidRPr="00AE1A0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_x0000_s1038"/>
                  <w:bookmarkEnd w:id="2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"/>
            </w:tblGrid>
            <w:tr w:rsidR="00AE1A0D" w:rsidRPr="00AE1A0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x0000_t32"/>
                  <w:bookmarkEnd w:id="3"/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көрсетілетін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қызметті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берушінің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кеңсесібұйрықтың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тіркеуі</w:t>
                  </w:r>
                  <w:proofErr w:type="gram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үзеге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асырады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15 минут.</w:t>
                  </w:r>
                </w:p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1"/>
            </w:tblGrid>
            <w:tr w:rsidR="00AE1A0D" w:rsidRPr="00AE1A0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_x0000_s1026"/>
                  <w:bookmarkEnd w:id="4"/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көрсетілетін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қызметті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берушінің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кеңсесі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құжаттарды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қабылдауды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оларды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тіркеуді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жүзеге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асырады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 15 минут.</w:t>
                  </w:r>
                </w:p>
                <w:p w:rsidR="00AE1A0D" w:rsidRPr="00AE1A0D" w:rsidRDefault="00AE1A0D" w:rsidP="00AE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AE1A0D" w:rsidRPr="00AE1A0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_x0000_s1031"/>
                  <w:bookmarkEnd w:id="5"/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көрсетілетін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қызметті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берушінің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басшылығыбұйрық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жобасымен</w:t>
                  </w:r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танысады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1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жұмыс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</w:t>
                  </w:r>
                  <w:proofErr w:type="gram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E1A0D" w:rsidRPr="00AE1A0D" w:rsidRDefault="00AE1A0D" w:rsidP="00AE1A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0"/>
            </w:tblGrid>
            <w:tr w:rsidR="00AE1A0D" w:rsidRPr="00AE1A0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_x0000_s1039"/>
                  <w:bookmarkEnd w:id="6"/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көрсетілетін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қызметті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берушінің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басшылығы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құжаттарментанысады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 1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жұмыс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</w:t>
                  </w:r>
                  <w:proofErr w:type="gram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2"/>
            </w:tblGrid>
            <w:tr w:rsidR="00AE1A0D" w:rsidRPr="00AE1A0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_x0000_s1037"/>
                  <w:bookmarkEnd w:id="7"/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жауапты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орындаушыбұйрық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жобасын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дайындайды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– 2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жұмыс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</w:t>
                  </w:r>
                  <w:proofErr w:type="gramStart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E1A0D" w:rsidRPr="00AE1A0D" w:rsidRDefault="00AE1A0D" w:rsidP="00AE1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A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AE1A0D" w:rsidRPr="00AE1A0D" w:rsidRDefault="00AE1A0D" w:rsidP="00AE1A0D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E1A0D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</w:tbl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*ҚФБ    -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құрылымды</w:t>
      </w:r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қ-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функционалдық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бірлік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: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берушінің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құрылымдық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бөлімшесінің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қызметкерлерінің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), «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электрондық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үкімет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» веб-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порталының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өзара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әрекет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етуі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8" w:name="_x0000_s1050"/>
      <w:bookmarkEnd w:id="8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-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мемлекеттік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көрсетудің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басталуы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немесе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аяқталуы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9" w:name="_x0000_s1049"/>
      <w:bookmarkEnd w:id="9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-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көрсетілетін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қызметті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алушының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және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немесе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) ҚФБ </w:t>
      </w:r>
      <w:proofErr w:type="spellStart"/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әсімінің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әрекетінің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атауы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AE1A0D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972F79" w:rsidRPr="00AE1A0D" w:rsidRDefault="00AE1A0D" w:rsidP="00AE1A0D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10" w:name="_x0000_s1048"/>
      <w:bookmarkEnd w:id="10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- 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келесі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р</w:t>
      </w:r>
      <w:proofErr w:type="gram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әсімге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(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әрекетке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) </w:t>
      </w:r>
      <w:proofErr w:type="spellStart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ауы</w:t>
      </w:r>
      <w:bookmarkStart w:id="11" w:name="_GoBack"/>
      <w:bookmarkEnd w:id="11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су</w:t>
      </w:r>
      <w:proofErr w:type="spellEnd"/>
      <w:r w:rsidRPr="00AE1A0D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</w:t>
      </w:r>
    </w:p>
    <w:sectPr w:rsidR="00972F79" w:rsidRPr="00AE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8"/>
    <w:rsid w:val="00972F79"/>
    <w:rsid w:val="00AE1A0D"/>
    <w:rsid w:val="00E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A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A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2017-03-29T10:59:00Z</dcterms:created>
  <dcterms:modified xsi:type="dcterms:W3CDTF">2017-03-29T11:00:00Z</dcterms:modified>
</cp:coreProperties>
</file>